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A331C" w14:textId="4E6340EE" w:rsidR="000C338A" w:rsidRPr="000C338A" w:rsidRDefault="00DC53A0" w:rsidP="000C338A">
      <w:pPr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bCs/>
          <w:noProof/>
          <w:lang w:val="en-US"/>
        </w:rPr>
        <w:drawing>
          <wp:anchor distT="0" distB="0" distL="114300" distR="114300" simplePos="0" relativeHeight="251660287" behindDoc="1" locked="0" layoutInCell="1" allowOverlap="1" wp14:anchorId="399DB14C" wp14:editId="6A39EA9A">
            <wp:simplePos x="0" y="0"/>
            <wp:positionH relativeFrom="page">
              <wp:posOffset>16066</wp:posOffset>
            </wp:positionH>
            <wp:positionV relativeFrom="paragraph">
              <wp:posOffset>-897890</wp:posOffset>
            </wp:positionV>
            <wp:extent cx="7558500" cy="1797269"/>
            <wp:effectExtent l="0" t="0" r="4445" b="0"/>
            <wp:wrapNone/>
            <wp:docPr id="513275574" name="Image 7" descr="Une image contenant Bleu électrique, Bleu Majorelle, Bleu cobalt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75574" name="Image 7" descr="Une image contenant Bleu électrique, Bleu Majorelle, Bleu cobalt, drap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00" cy="179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38A" w:rsidRPr="000C338A">
        <w:rPr>
          <w:rFonts w:ascii="Calibri" w:hAnsi="Calibri" w:cs="Calibri"/>
          <w:b/>
          <w:bCs/>
          <w:noProof/>
          <w:color w:val="000000" w:themeColor="text1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BE9E33" wp14:editId="3273EA3F">
                <wp:simplePos x="0" y="0"/>
                <wp:positionH relativeFrom="column">
                  <wp:posOffset>515126</wp:posOffset>
                </wp:positionH>
                <wp:positionV relativeFrom="paragraph">
                  <wp:posOffset>448310</wp:posOffset>
                </wp:positionV>
                <wp:extent cx="586740" cy="45719"/>
                <wp:effectExtent l="38100" t="38100" r="60960" b="88265"/>
                <wp:wrapNone/>
                <wp:docPr id="1649942076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4571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BEC39" id="Rectangle 63" o:spid="_x0000_s1026" style="position:absolute;margin-left:40.55pt;margin-top:35.3pt;width:46.2pt;height:3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" fillcolor="#ffd966 [1943]" stroked="f" strokeweight="1pt">
                <v:shadow on="t" color="black" opacity="26214f" origin="-.5,-.5" offset=".74836mm,.74836mm"/>
              </v:rect>
            </w:pict>
          </mc:Fallback>
        </mc:AlternateContent>
      </w:r>
      <w:r w:rsidR="000C338A" w:rsidRPr="000C338A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SUMMARY SHEETS : ARTICLE </w:t>
      </w:r>
      <w:r w:rsidR="00B61D3E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0C338A" w:rsidRPr="000C338A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ECHFR </w:t>
      </w:r>
    </w:p>
    <w:p w14:paraId="6EB7AACF" w14:textId="173C1CD3" w:rsidR="009F095C" w:rsidRPr="000C338A" w:rsidRDefault="000C338A" w:rsidP="000C338A">
      <w:pPr>
        <w:rPr>
          <w:rFonts w:ascii="Calibri" w:eastAsiaTheme="majorEastAsia" w:hAnsi="Calibri" w:cs="Calibri"/>
          <w:spacing w:val="-10"/>
          <w:kern w:val="28"/>
          <w:sz w:val="56"/>
          <w:szCs w:val="56"/>
        </w:rPr>
      </w:pPr>
      <w:r w:rsidRPr="00BA7FF3">
        <w:rPr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736D77" wp14:editId="3A21B62F">
                <wp:simplePos x="0" y="0"/>
                <wp:positionH relativeFrom="margin">
                  <wp:align>left</wp:align>
                </wp:positionH>
                <wp:positionV relativeFrom="paragraph">
                  <wp:posOffset>578485</wp:posOffset>
                </wp:positionV>
                <wp:extent cx="5381625" cy="1404620"/>
                <wp:effectExtent l="0" t="0" r="28575" b="209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4046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398F7" w14:textId="3C4AB96C" w:rsidR="00B61D3E" w:rsidRPr="007F7B31" w:rsidRDefault="009F095C" w:rsidP="00B61D3E">
                            <w:pPr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“</w:t>
                            </w:r>
                            <w:proofErr w:type="spellStart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Respect</w:t>
                            </w:r>
                            <w:proofErr w:type="spellEnd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for</w:t>
                            </w:r>
                            <w:proofErr w:type="spellEnd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private</w:t>
                            </w:r>
                            <w:proofErr w:type="spellEnd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family</w:t>
                            </w:r>
                            <w:proofErr w:type="spellEnd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life</w:t>
                            </w:r>
                            <w:proofErr w:type="spellEnd"/>
                            <w:r w:rsidR="00B61D3E" w:rsidRPr="007F7B31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 xml:space="preserve"> </w:t>
                            </w:r>
                          </w:p>
                          <w:p w14:paraId="3C0FFE7E" w14:textId="77777777" w:rsidR="00B61D3E" w:rsidRPr="007F7B31" w:rsidRDefault="00B61D3E" w:rsidP="00B61D3E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09EC0A15" w14:textId="1319E47A" w:rsidR="00B61D3E" w:rsidRDefault="00B61D3E" w:rsidP="009F095C">
                            <w:pPr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Everyone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has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the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right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to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respect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for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his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or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her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private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family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life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, home and </w:t>
                            </w:r>
                            <w:proofErr w:type="spellStart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communications</w:t>
                            </w:r>
                            <w:proofErr w:type="spellEnd"/>
                            <w:r w:rsidRPr="007F7B31">
                              <w:rPr>
                                <w:rFonts w:asciiTheme="majorHAnsi" w:hAnsiTheme="majorHAnsi" w:cstheme="majorHAnsi"/>
                                <w:i/>
                              </w:rPr>
                              <w:t>.</w:t>
                            </w:r>
                            <w:r w:rsidR="001A0070">
                              <w:rPr>
                                <w:rFonts w:asciiTheme="majorHAnsi" w:hAnsiTheme="majorHAnsi" w:cstheme="majorHAnsi"/>
                                <w:i/>
                              </w:rPr>
                              <w:t>”</w:t>
                            </w:r>
                          </w:p>
                          <w:p w14:paraId="3C2FCA85" w14:textId="77777777" w:rsidR="00B61D3E" w:rsidRPr="00B61D3E" w:rsidRDefault="00B61D3E" w:rsidP="009F095C">
                            <w:pPr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oundrect w14:anchorId="27736D77" id="Zone de texte 2" o:spid="_x0000_s1026" style="position:absolute;margin-left:0;margin-top:45.55pt;width:423.7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" fillcolor="#d9e2f3 [660]" strokecolor="#d9e2f3 [660]">
                <v:stroke joinstyle="miter"/>
                <v:textbox style="mso-fit-shape-to-text:t">
                  <w:txbxContent>
                    <w:p w14:paraId="030398F7" w14:textId="3C4AB96C" w:rsidR="00B61D3E" w:rsidRPr="007F7B31" w:rsidRDefault="009F095C" w:rsidP="00B61D3E">
                      <w:pPr>
                        <w:rPr>
                          <w:rFonts w:asciiTheme="majorHAnsi" w:hAnsiTheme="majorHAnsi" w:cstheme="majorHAnsi"/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“</w:t>
                      </w:r>
                      <w:proofErr w:type="spellStart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>Respect</w:t>
                      </w:r>
                      <w:proofErr w:type="spellEnd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 xml:space="preserve"> </w:t>
                      </w:r>
                      <w:proofErr w:type="spellStart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>for</w:t>
                      </w:r>
                      <w:proofErr w:type="spellEnd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 xml:space="preserve"> </w:t>
                      </w:r>
                      <w:proofErr w:type="spellStart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>private</w:t>
                      </w:r>
                      <w:proofErr w:type="spellEnd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 xml:space="preserve"> and </w:t>
                      </w:r>
                      <w:proofErr w:type="spellStart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>family</w:t>
                      </w:r>
                      <w:proofErr w:type="spellEnd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 xml:space="preserve"> </w:t>
                      </w:r>
                      <w:proofErr w:type="spellStart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>life</w:t>
                      </w:r>
                      <w:proofErr w:type="spellEnd"/>
                      <w:r w:rsidR="00B61D3E" w:rsidRPr="007F7B31">
                        <w:rPr>
                          <w:rFonts w:asciiTheme="majorHAnsi" w:hAnsiTheme="majorHAnsi" w:cstheme="majorHAnsi"/>
                          <w:b/>
                          <w:i/>
                        </w:rPr>
                        <w:t xml:space="preserve"> </w:t>
                      </w:r>
                    </w:p>
                    <w:p w14:paraId="3C0FFE7E" w14:textId="77777777" w:rsidR="00B61D3E" w:rsidRPr="007F7B31" w:rsidRDefault="00B61D3E" w:rsidP="00B61D3E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</w:p>
                    <w:p w14:paraId="09EC0A15" w14:textId="1319E47A" w:rsidR="00B61D3E" w:rsidRDefault="00B61D3E" w:rsidP="009F095C">
                      <w:pPr>
                        <w:rPr>
                          <w:rFonts w:asciiTheme="majorHAnsi" w:hAnsiTheme="majorHAnsi" w:cstheme="majorHAnsi"/>
                          <w:i/>
                        </w:rPr>
                      </w:pP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Everyone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has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the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right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to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respect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for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his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or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her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private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and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family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life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 xml:space="preserve">, home and </w:t>
                      </w:r>
                      <w:proofErr w:type="spellStart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communications</w:t>
                      </w:r>
                      <w:proofErr w:type="spellEnd"/>
                      <w:r w:rsidRPr="007F7B31">
                        <w:rPr>
                          <w:rFonts w:asciiTheme="majorHAnsi" w:hAnsiTheme="majorHAnsi" w:cstheme="majorHAnsi"/>
                          <w:i/>
                        </w:rPr>
                        <w:t>.</w:t>
                      </w:r>
                      <w:r w:rsidR="001A0070">
                        <w:rPr>
                          <w:rFonts w:asciiTheme="majorHAnsi" w:hAnsiTheme="majorHAnsi" w:cstheme="majorHAnsi"/>
                          <w:i/>
                        </w:rPr>
                        <w:t>”</w:t>
                      </w:r>
                    </w:p>
                    <w:p w14:paraId="3C2FCA85" w14:textId="77777777" w:rsidR="00B61D3E" w:rsidRPr="00B61D3E" w:rsidRDefault="00B61D3E" w:rsidP="009F095C">
                      <w:pPr>
                        <w:rPr>
                          <w:rFonts w:asciiTheme="majorHAnsi" w:hAnsiTheme="majorHAnsi" w:cstheme="majorHAnsi"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A5340" w:rsidRPr="008E2D64" w14:paraId="6AD94D0E" w14:textId="77777777" w:rsidTr="00CA5340">
        <w:tc>
          <w:tcPr>
            <w:tcW w:w="8494" w:type="dxa"/>
          </w:tcPr>
          <w:p w14:paraId="7E53AB23" w14:textId="00D55ABB" w:rsidR="00CA5340" w:rsidRPr="009F095C" w:rsidRDefault="00CA5340">
            <w:pP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9F095C">
              <w:rPr>
                <w:b/>
                <w:bCs/>
                <w:color w:val="0070C0"/>
                <w:sz w:val="28"/>
                <w:szCs w:val="28"/>
                <w:lang w:val="en-US"/>
              </w:rPr>
              <w:t xml:space="preserve">Content and scope of the article </w:t>
            </w:r>
          </w:p>
        </w:tc>
      </w:tr>
      <w:tr w:rsidR="00CA5340" w:rsidRPr="008E2D64" w14:paraId="7247B80F" w14:textId="77777777" w:rsidTr="00CA5340">
        <w:tc>
          <w:tcPr>
            <w:tcW w:w="8494" w:type="dxa"/>
          </w:tcPr>
          <w:p w14:paraId="507D2275" w14:textId="77777777" w:rsidR="00AF1C04" w:rsidRDefault="00AF1C04" w:rsidP="00B61D3E">
            <w:pPr>
              <w:jc w:val="both"/>
              <w:rPr>
                <w:rFonts w:ascii="Calibri" w:hAnsi="Calibri" w:cs="Calibri"/>
                <w:lang w:val="en-US"/>
              </w:rPr>
            </w:pPr>
          </w:p>
          <w:p w14:paraId="0918DAA2" w14:textId="77777777" w:rsidR="00B61D3E" w:rsidRDefault="00B61D3E" w:rsidP="00B61D3E">
            <w:pPr>
              <w:rPr>
                <w:b/>
                <w:bCs/>
              </w:rPr>
            </w:pPr>
            <w:proofErr w:type="spellStart"/>
            <w:r w:rsidRPr="003E2F91">
              <w:rPr>
                <w:b/>
                <w:bCs/>
              </w:rPr>
              <w:t>The</w:t>
            </w:r>
            <w:proofErr w:type="spellEnd"/>
            <w:r w:rsidRPr="003E2F91">
              <w:rPr>
                <w:b/>
                <w:bCs/>
              </w:rPr>
              <w:t xml:space="preserve"> Multi-</w:t>
            </w:r>
            <w:proofErr w:type="spellStart"/>
            <w:r w:rsidRPr="003E2F91">
              <w:rPr>
                <w:b/>
                <w:bCs/>
              </w:rPr>
              <w:t>Faceted</w:t>
            </w:r>
            <w:proofErr w:type="spellEnd"/>
            <w:r w:rsidRPr="003E2F91">
              <w:rPr>
                <w:b/>
                <w:bCs/>
              </w:rPr>
              <w:t xml:space="preserve"> </w:t>
            </w:r>
            <w:proofErr w:type="spellStart"/>
            <w:r w:rsidRPr="003E2F91">
              <w:rPr>
                <w:b/>
                <w:bCs/>
              </w:rPr>
              <w:t>Nature</w:t>
            </w:r>
            <w:proofErr w:type="spellEnd"/>
            <w:r w:rsidRPr="003E2F91">
              <w:rPr>
                <w:b/>
                <w:bCs/>
              </w:rPr>
              <w:t xml:space="preserve"> </w:t>
            </w:r>
            <w:proofErr w:type="spellStart"/>
            <w:r w:rsidRPr="003E2F91">
              <w:rPr>
                <w:b/>
                <w:bCs/>
              </w:rPr>
              <w:t>of</w:t>
            </w:r>
            <w:proofErr w:type="spellEnd"/>
            <w:r w:rsidRPr="003E2F91">
              <w:rPr>
                <w:b/>
                <w:bCs/>
              </w:rPr>
              <w:t xml:space="preserve"> </w:t>
            </w:r>
            <w:proofErr w:type="spellStart"/>
            <w:r w:rsidRPr="003E2F91">
              <w:rPr>
                <w:b/>
                <w:bCs/>
              </w:rPr>
              <w:t>Article</w:t>
            </w:r>
            <w:proofErr w:type="spellEnd"/>
            <w:r w:rsidRPr="003E2F91">
              <w:rPr>
                <w:b/>
                <w:bCs/>
              </w:rPr>
              <w:t xml:space="preserve"> 7</w:t>
            </w:r>
          </w:p>
          <w:p w14:paraId="57C55E35" w14:textId="77777777" w:rsidR="001A0070" w:rsidRPr="003E2F91" w:rsidRDefault="001A0070" w:rsidP="00B61D3E">
            <w:pPr>
              <w:rPr>
                <w:rFonts w:asciiTheme="majorHAnsi" w:hAnsiTheme="majorHAnsi" w:cstheme="majorHAnsi"/>
                <w:b/>
                <w:bCs/>
                <w:iCs/>
              </w:rPr>
            </w:pPr>
          </w:p>
          <w:p w14:paraId="19881CE5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Despite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modest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wording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contains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several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contribute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significantly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CJEU's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growing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jurisprudence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15C93ED5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i/>
              </w:rPr>
            </w:pPr>
          </w:p>
          <w:p w14:paraId="647C295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just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but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four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distinct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addressed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equally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individuals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some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cases,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beneficiaries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also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legal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persons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0A4B2F7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0168FD4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</w:p>
          <w:p w14:paraId="33C8D80B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(1)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</w:p>
          <w:p w14:paraId="3B14FCA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(2)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</w:rPr>
              <w:t>private</w:t>
            </w:r>
            <w:proofErr w:type="spellEnd"/>
            <w:r w:rsidRPr="007F7B31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</w:p>
          <w:p w14:paraId="2F2CA1A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(3)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r w:rsidRPr="007F7B31">
              <w:rPr>
                <w:rFonts w:asciiTheme="majorHAnsi" w:hAnsiTheme="majorHAnsi" w:cstheme="majorHAnsi"/>
                <w:b/>
              </w:rPr>
              <w:t>home</w:t>
            </w:r>
            <w:r w:rsidRPr="007F7B31">
              <w:rPr>
                <w:rFonts w:asciiTheme="majorHAnsi" w:hAnsiTheme="majorHAnsi" w:cstheme="majorHAnsi"/>
              </w:rPr>
              <w:t xml:space="preserve">, </w:t>
            </w:r>
          </w:p>
          <w:p w14:paraId="5E41D70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7F7B31">
              <w:rPr>
                <w:rFonts w:asciiTheme="majorHAnsi" w:hAnsiTheme="majorHAnsi" w:cstheme="majorHAnsi"/>
              </w:rPr>
              <w:t xml:space="preserve">(4)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</w:rPr>
              <w:t>communications</w:t>
            </w:r>
            <w:proofErr w:type="spellEnd"/>
            <w:r w:rsidRPr="007F7B31">
              <w:rPr>
                <w:rFonts w:asciiTheme="majorHAnsi" w:hAnsiTheme="majorHAnsi" w:cstheme="majorHAnsi"/>
                <w:b/>
              </w:rPr>
              <w:t>.</w:t>
            </w:r>
          </w:p>
          <w:p w14:paraId="1EE25E0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6D3E783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Thus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multi-faceted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mirrors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corresponds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8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Convention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Human </w:t>
            </w:r>
            <w:proofErr w:type="spellStart"/>
            <w:r w:rsidRPr="007F7B31">
              <w:rPr>
                <w:rFonts w:asciiTheme="majorHAnsi" w:hAnsiTheme="majorHAnsi" w:cstheme="majorHAnsi"/>
                <w:color w:val="002060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color w:val="002060"/>
              </w:rPr>
              <w:t xml:space="preserve"> (ECHR) </w:t>
            </w:r>
            <w:r w:rsidRPr="007F7B31">
              <w:rPr>
                <w:rFonts w:asciiTheme="majorHAnsi" w:hAnsiTheme="majorHAnsi" w:cstheme="majorHAnsi"/>
              </w:rPr>
              <w:t xml:space="preserve">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effect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52(3)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subject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same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limitations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imposed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1096432D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6F9BD88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8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itself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evident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other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applicability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broad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evidenced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CJEU.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provides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opportunity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practitioners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invoke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provision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across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various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practice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48CFBD2A" w14:textId="77777777" w:rsidR="00B61D3E" w:rsidRDefault="00B61D3E" w:rsidP="00B61D3E">
            <w:pPr>
              <w:jc w:val="both"/>
            </w:pPr>
          </w:p>
          <w:p w14:paraId="6498DE94" w14:textId="77777777" w:rsidR="00B61D3E" w:rsidRPr="003E2F91" w:rsidRDefault="00B61D3E" w:rsidP="00B61D3E">
            <w:pPr>
              <w:jc w:val="both"/>
              <w:rPr>
                <w:b/>
                <w:bCs/>
              </w:rPr>
            </w:pPr>
            <w:r w:rsidRPr="003E2F91">
              <w:rPr>
                <w:b/>
                <w:bCs/>
              </w:rPr>
              <w:t xml:space="preserve">Key Legal and </w:t>
            </w:r>
            <w:proofErr w:type="spellStart"/>
            <w:r w:rsidRPr="003E2F91">
              <w:rPr>
                <w:b/>
                <w:bCs/>
              </w:rPr>
              <w:t>Practical</w:t>
            </w:r>
            <w:proofErr w:type="spellEnd"/>
            <w:r w:rsidRPr="003E2F91">
              <w:rPr>
                <w:b/>
                <w:bCs/>
              </w:rPr>
              <w:t xml:space="preserve"> </w:t>
            </w:r>
            <w:proofErr w:type="spellStart"/>
            <w:r w:rsidRPr="003E2F91">
              <w:rPr>
                <w:b/>
                <w:bCs/>
              </w:rPr>
              <w:t>Questions</w:t>
            </w:r>
            <w:proofErr w:type="spellEnd"/>
          </w:p>
          <w:p w14:paraId="579FCA4D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2820D373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relevant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fields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such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asylum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, data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equal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treatment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issues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including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gender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equality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),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maternity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, social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security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free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persons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and 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citizenshi</w:t>
            </w:r>
            <w:r w:rsidRPr="007F7B31">
              <w:rPr>
                <w:rFonts w:asciiTheme="majorHAnsi" w:hAnsiTheme="majorHAnsi" w:cstheme="majorHAnsi"/>
              </w:rPr>
              <w:t>p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well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as in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concerning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children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their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best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interest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0E5CB6B3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15D9B54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At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heart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each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concept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interpretation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instance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"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" mean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context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7?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constitutes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 </w:t>
            </w:r>
            <w:r w:rsidRPr="007F7B31">
              <w:rPr>
                <w:rFonts w:asciiTheme="majorHAnsi" w:hAnsiTheme="majorHAnsi" w:cstheme="majorHAnsi"/>
              </w:rPr>
              <w:lastRenderedPageBreak/>
              <w:t>"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private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"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provision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aspects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?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qualifies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as a "home"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meaning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receive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particular cases?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corollary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question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each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scope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whom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apply</w:t>
            </w:r>
            <w:proofErr w:type="spellEnd"/>
            <w:r w:rsidRPr="007F7B31">
              <w:rPr>
                <w:rFonts w:asciiTheme="majorHAnsi" w:hAnsiTheme="majorHAnsi" w:cstheme="majorHAnsi"/>
              </w:rPr>
              <w:t>?</w:t>
            </w:r>
          </w:p>
          <w:p w14:paraId="5C0C9D91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6B059AA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concepts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inherently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abstract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open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interpretation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CJEU’s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continues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evolve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regarding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their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meaning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510B678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 </w:t>
            </w:r>
          </w:p>
          <w:p w14:paraId="3D8FF5AB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significantly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impacts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listed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</w:p>
          <w:p w14:paraId="56D0877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18EA0B7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selection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at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least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arises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practical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consideration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there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body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concerning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enshrined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further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complemented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extensive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body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secondary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legislation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addressing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each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listed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7. </w:t>
            </w:r>
          </w:p>
          <w:p w14:paraId="65C5C9C3" w14:textId="77777777" w:rsidR="00B61D3E" w:rsidRPr="007F7B31" w:rsidRDefault="00B61D3E" w:rsidP="00B61D3E">
            <w:pPr>
              <w:rPr>
                <w:rFonts w:asciiTheme="majorHAnsi" w:hAnsiTheme="majorHAnsi" w:cstheme="majorHAnsi"/>
                <w:i/>
              </w:rPr>
            </w:pPr>
          </w:p>
          <w:p w14:paraId="6FDA244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applies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all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individuals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irrespective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nationality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invoked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factually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related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concept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</w:p>
          <w:p w14:paraId="1EAE2A2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1A941846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such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immigration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developing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common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immigration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policy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policy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</w:rPr>
              <w:t>but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limited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adoption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common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rules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entry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residence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third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-country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nationals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territory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Member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States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(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TFEU art. 79).</w:t>
            </w:r>
          </w:p>
          <w:p w14:paraId="3E7403C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03C2CF87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2060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policy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also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individual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immigration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measures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concerning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>. EU </w:t>
            </w:r>
            <w:proofErr w:type="spellStart"/>
            <w:r w:rsidRPr="007F7B31">
              <w:rPr>
                <w:rFonts w:asciiTheme="majorHAnsi" w:hAnsiTheme="majorHAnsi" w:cstheme="majorHAnsi"/>
              </w:rPr>
              <w:t>migration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allows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two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contexts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: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certain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categories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third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-country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nationals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defined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foreign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nationals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do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possess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citizenship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citizenship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Member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State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r w:rsidRPr="007F7B31">
              <w:rPr>
                <w:rFonts w:asciiTheme="majorHAnsi" w:hAnsiTheme="majorHAnsi" w:cstheme="majorHAnsi"/>
                <w:color w:val="002060"/>
              </w:rPr>
              <w:t>Directive 2003/86/EC</w:t>
            </w:r>
            <w:r w:rsidRPr="007F7B31">
              <w:rPr>
                <w:rFonts w:asciiTheme="majorHAnsi" w:hAnsiTheme="majorHAnsi" w:cstheme="majorHAnsi"/>
              </w:rPr>
              <w:t xml:space="preserve">;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so-</w:t>
            </w:r>
            <w:proofErr w:type="spellStart"/>
            <w:r w:rsidRPr="007F7B31">
              <w:rPr>
                <w:rFonts w:asciiTheme="majorHAnsi" w:hAnsiTheme="majorHAnsi" w:cstheme="majorHAnsi"/>
              </w:rPr>
              <w:t>called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members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citizens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i.e.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persons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derive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their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residence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citizens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r w:rsidRPr="007F7B31">
              <w:rPr>
                <w:rFonts w:asciiTheme="majorHAnsi" w:hAnsiTheme="majorHAnsi" w:cstheme="majorHAnsi"/>
                <w:color w:val="002060"/>
              </w:rPr>
              <w:t>Directive 2004/38/ES.</w:t>
            </w:r>
          </w:p>
          <w:p w14:paraId="63A031C7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2060"/>
              </w:rPr>
            </w:pPr>
          </w:p>
          <w:p w14:paraId="13A280ED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Both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directives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establish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series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conditions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granted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well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as individual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restrictions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prevent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foreign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national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residing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</w:t>
            </w:r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Member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States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thereby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obstructing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their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ability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exercise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Such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restrictions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concerns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related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public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order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non-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compliance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formal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conditions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</w:p>
          <w:p w14:paraId="5C38D19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0ACCC73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However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essential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note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specific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determined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secondary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Rather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conditions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limitations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respect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secondary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must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first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foremost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respect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provisions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</w:p>
          <w:p w14:paraId="6D02BE5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1D4D5FD5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CJEU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had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already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established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prior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adoption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Lisbon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Treaty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Parliament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v Council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Union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(C-504/2003)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Directive 2003/86/EC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must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interpreted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light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fundamental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8 ECHR)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must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also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align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principle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best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interests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child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3C623FD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</w:p>
          <w:p w14:paraId="48E1808D" w14:textId="77777777" w:rsidR="00B61D3E" w:rsidRDefault="00B61D3E" w:rsidP="00B61D3E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lastRenderedPageBreak/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extends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far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beyond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single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area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Moreover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ever-evolving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society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raises new </w:t>
            </w:r>
            <w:proofErr w:type="spellStart"/>
            <w:r w:rsidRPr="007F7B31">
              <w:rPr>
                <w:rFonts w:asciiTheme="majorHAnsi" w:hAnsiTheme="majorHAnsi" w:cstheme="majorHAnsi"/>
              </w:rPr>
              <w:t>questions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challenge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redefine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concepts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previously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interpreted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2D6E0F25" w14:textId="20376C81" w:rsidR="00B61D3E" w:rsidRPr="00B61D3E" w:rsidRDefault="00B61D3E" w:rsidP="00B61D3E">
            <w:pPr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A5340" w:rsidRPr="008E2D64" w14:paraId="1FD718D0" w14:textId="77777777" w:rsidTr="00CA5340">
        <w:tc>
          <w:tcPr>
            <w:tcW w:w="8494" w:type="dxa"/>
          </w:tcPr>
          <w:p w14:paraId="4BB5FDD1" w14:textId="49FEFAE4" w:rsidR="00CA5340" w:rsidRPr="009F095C" w:rsidRDefault="009F095C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9F095C">
              <w:rPr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CJEU C</w:t>
            </w:r>
            <w:r w:rsidR="00CA5340" w:rsidRPr="009F095C">
              <w:rPr>
                <w:b/>
                <w:bCs/>
                <w:color w:val="0070C0"/>
                <w:sz w:val="28"/>
                <w:szCs w:val="28"/>
                <w:lang w:val="en-US"/>
              </w:rPr>
              <w:t xml:space="preserve">ase </w:t>
            </w:r>
            <w:r w:rsidRPr="009F095C">
              <w:rPr>
                <w:b/>
                <w:bCs/>
                <w:color w:val="0070C0"/>
                <w:sz w:val="28"/>
                <w:szCs w:val="28"/>
                <w:lang w:val="en-US"/>
              </w:rPr>
              <w:t>L</w:t>
            </w:r>
            <w:r w:rsidR="00CA5340" w:rsidRPr="009F095C">
              <w:rPr>
                <w:b/>
                <w:bCs/>
                <w:color w:val="0070C0"/>
                <w:sz w:val="28"/>
                <w:szCs w:val="28"/>
                <w:lang w:val="en-US"/>
              </w:rPr>
              <w:t>aw</w:t>
            </w:r>
          </w:p>
        </w:tc>
      </w:tr>
      <w:tr w:rsidR="00CA5340" w:rsidRPr="008E2D64" w14:paraId="35FB37BC" w14:textId="77777777" w:rsidTr="00CA5340">
        <w:tc>
          <w:tcPr>
            <w:tcW w:w="8494" w:type="dxa"/>
          </w:tcPr>
          <w:p w14:paraId="2438FC0B" w14:textId="77777777" w:rsidR="009F095C" w:rsidRDefault="009F095C" w:rsidP="009F095C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</w:p>
          <w:p w14:paraId="1908211C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Cases </w:t>
            </w:r>
            <w:r w:rsidRPr="007F7B31">
              <w:rPr>
                <w:rFonts w:asciiTheme="majorHAnsi" w:hAnsiTheme="majorHAnsi" w:cstheme="majorHAnsi"/>
                <w:b/>
              </w:rPr>
              <w:t>C-356/11 and C-357/11</w:t>
            </w:r>
            <w:r w:rsidRPr="007F7B31">
              <w:rPr>
                <w:rFonts w:asciiTheme="majorHAnsi" w:hAnsiTheme="majorHAnsi" w:cstheme="majorHAnsi"/>
              </w:rPr>
              <w:t xml:space="preserve"> </w:t>
            </w:r>
            <w:r w:rsidRPr="007F7B31">
              <w:rPr>
                <w:rFonts w:asciiTheme="majorHAnsi" w:hAnsiTheme="majorHAnsi" w:cstheme="majorHAnsi"/>
                <w:b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O, S,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Maahanmuuttovirasto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Maahanmuttovirasto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v L,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December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6, 2012):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Korkein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hallinto-oikeus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Finland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67EAE7D1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Best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interest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child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dependent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person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utility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respect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reunification</w:t>
            </w:r>
            <w:proofErr w:type="spellEnd"/>
          </w:p>
          <w:p w14:paraId="39CC230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676999A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C-560/20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CR, GF, TY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Landeshauptmann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von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Wien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January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30, 2024):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Verwaltungsgericht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Wien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(Administrative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Vienna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, Austria)</w:t>
            </w:r>
          </w:p>
          <w:p w14:paraId="5938F6D5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unaccompanied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minor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refugee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his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her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first-degree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relatives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direct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ascending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line - 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unaccompanied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minor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effectiveness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unaccompanied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minor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refugee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reunification</w:t>
            </w:r>
            <w:proofErr w:type="spellEnd"/>
          </w:p>
          <w:p w14:paraId="79622EA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46A5B93B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C-400/10 PPU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J.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McB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>. v L. E.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October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5, 2010):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Supreme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Ireland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5EBFD530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parental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responsibility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children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whose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parents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married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custody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father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enforce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return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children</w:t>
            </w:r>
            <w:proofErr w:type="spellEnd"/>
          </w:p>
          <w:p w14:paraId="00627A98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5D05B8C3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C-131/12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Google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Spain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SL, Google Inc. v Agencia Española de Protección de Datos (AEPD), Mario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Costeja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González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, May 13, 2014):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Audiencia Nacional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Spain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3F8DFCBD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personal data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individuals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regards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personal data,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responsibility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operator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free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data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interest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general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public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individuals</w:t>
            </w:r>
            <w:proofErr w:type="spellEnd"/>
          </w:p>
          <w:p w14:paraId="4525B61A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52C7DC4F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C-212/13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František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Ryneš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Úřad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pro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ochranu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osobních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údajů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December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11, 2014):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Nejvyšší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správní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soud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Czech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Republic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585BACDF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:</w:t>
            </w:r>
            <w:r w:rsidRPr="007F7B31">
              <w:rPr>
                <w:rFonts w:asciiTheme="majorHAnsi" w:hAnsiTheme="majorHAnsi" w:cstheme="majorHAnsi"/>
                <w:i/>
                <w:iCs/>
              </w:rPr>
              <w:t xml:space="preserve"> c</w:t>
            </w: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oncept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course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purely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personal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household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activity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processing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personal data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derogations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limitations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relation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personal data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must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apply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only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in so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strictly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necessary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home camera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system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recording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people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property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health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life</w:t>
            </w:r>
            <w:proofErr w:type="spellEnd"/>
          </w:p>
          <w:p w14:paraId="5003CF9C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3D408364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</w:t>
            </w:r>
            <w:r w:rsidRPr="007F7B31">
              <w:rPr>
                <w:rFonts w:asciiTheme="majorHAnsi" w:hAnsiTheme="majorHAnsi" w:cstheme="majorHAnsi"/>
              </w:rPr>
              <w:t xml:space="preserve"> </w:t>
            </w: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Cases C-148/13, C-149/13 and C-150/13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>A, B, C v</w:t>
            </w:r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Staatssecretaris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van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Veiligheid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en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Justitie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December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2, 2014):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Raad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van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State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Netherlands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6EFD667F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standards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granting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refugee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status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fear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persecution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grounds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sexual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orientation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declared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sexual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orientation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evidence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 human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dignity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respect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life</w:t>
            </w:r>
            <w:proofErr w:type="spellEnd"/>
          </w:p>
          <w:p w14:paraId="0A5207C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0802327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lastRenderedPageBreak/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C-5673/16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Relu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Adrian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Coman, Robert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Clabourn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Hamilton,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Asociaţia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Accept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Inspectoratul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General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pentru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Imigrări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Ministerul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Afacerilor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Interne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, June 5, 2018):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Curtea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Constituţională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Constitutional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, Romania)</w:t>
            </w:r>
          </w:p>
          <w:p w14:paraId="5755F343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free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citizens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members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definition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spouse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same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sex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marriage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recognition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residence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more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than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three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months</w:t>
            </w:r>
            <w:proofErr w:type="spellEnd"/>
          </w:p>
          <w:p w14:paraId="176245DB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301EA758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C-193/19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A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Migrationsverket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March 4 2021)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Förvaltningsrätten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 Malmö –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Migrationsdomstolen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(Administrative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Immigration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Matters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, Malmö,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Sweden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)</w:t>
            </w:r>
          </w:p>
          <w:p w14:paraId="2306AB12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Schengen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Information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System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entry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conditions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third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-country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nationals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refusal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renew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residence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permit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purposes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reunification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ground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applicant’s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identity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cannot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established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certainty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persons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across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borders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authorisation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given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public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prosecutor’s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office</w:t>
            </w:r>
          </w:p>
          <w:p w14:paraId="51DD8BAF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3B44909E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C-746/18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H. K. v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Prokuratuur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March 2, 2021)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Riigikohus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(Supreme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>, Estonia)</w:t>
            </w:r>
          </w:p>
          <w:p w14:paraId="506CC148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processing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personal data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confidentiality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communications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retention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traffic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location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data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providers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electronic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communications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services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use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data in criminal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proceedings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evidence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–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admissibility</w:t>
            </w:r>
            <w:proofErr w:type="spellEnd"/>
          </w:p>
          <w:p w14:paraId="773FD6B9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671D62CD" w14:textId="77777777" w:rsidR="00B61D3E" w:rsidRPr="007F7B31" w:rsidRDefault="00B61D3E" w:rsidP="00B61D3E">
            <w:pPr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CJEU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Judgement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in Case C-490/20 </w:t>
            </w:r>
            <w:r w:rsidRPr="007F7B31">
              <w:rPr>
                <w:rFonts w:asciiTheme="majorHAnsi" w:hAnsiTheme="majorHAnsi" w:cstheme="majorHAnsi"/>
                <w:color w:val="000000"/>
              </w:rPr>
              <w:t>(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>V.M.A v</w:t>
            </w:r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Stolichna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obshtina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rayon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‘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Pancharevo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>’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December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14, 2021)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request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preliminary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ruling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from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Administrativen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sad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Sofia-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grad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(Administrative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City </w:t>
            </w:r>
            <w:proofErr w:type="spellStart"/>
            <w:r w:rsidRPr="007F7B31">
              <w:rPr>
                <w:rFonts w:asciiTheme="majorHAnsi" w:hAnsiTheme="majorHAnsi" w:cstheme="majorHAnsi"/>
                <w:b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color w:val="000000"/>
              </w:rPr>
              <w:t xml:space="preserve"> Sofia, Bulgaria)</w:t>
            </w:r>
          </w:p>
          <w:p w14:paraId="1FEE6E3F" w14:textId="6D644C61" w:rsidR="00B61D3E" w:rsidRDefault="00B61D3E" w:rsidP="00B61D3E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Key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words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: free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birth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certificate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mentioning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two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mothers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refusal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issue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birth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certificate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child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absence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information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identity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child’s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biological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mother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persons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same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sex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recognised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as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parents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national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legislation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certificate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problem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precluding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issue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identity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card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or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passport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-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life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  <w:color w:val="000000"/>
              </w:rPr>
              <w:t>.</w:t>
            </w:r>
          </w:p>
          <w:p w14:paraId="5C7CACBA" w14:textId="1D811ED0" w:rsidR="00CD3B67" w:rsidRPr="00CD3B67" w:rsidRDefault="00CD3B67" w:rsidP="007F47B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A5340" w:rsidRPr="008E2D64" w14:paraId="4058ADFD" w14:textId="77777777" w:rsidTr="00541A2A">
        <w:tc>
          <w:tcPr>
            <w:tcW w:w="8494" w:type="dxa"/>
          </w:tcPr>
          <w:p w14:paraId="7A523F70" w14:textId="77777777" w:rsidR="00CA5340" w:rsidRPr="009F095C" w:rsidRDefault="00CA5340" w:rsidP="00541A2A">
            <w:pP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9F095C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Highlights</w:t>
            </w:r>
          </w:p>
        </w:tc>
      </w:tr>
      <w:tr w:rsidR="00B61D3E" w:rsidRPr="008E2D64" w14:paraId="152D4BB4" w14:textId="77777777" w:rsidTr="00541A2A">
        <w:tc>
          <w:tcPr>
            <w:tcW w:w="8494" w:type="dxa"/>
          </w:tcPr>
          <w:p w14:paraId="66732DC1" w14:textId="77777777" w:rsidR="00B61D3E" w:rsidRPr="007F7B31" w:rsidRDefault="00B61D3E" w:rsidP="00B61D3E">
            <w:pPr>
              <w:spacing w:before="240" w:after="240"/>
              <w:jc w:val="both"/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previously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stated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addressing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interpretation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substance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safeguards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but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four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distinct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individual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Due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breadth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wide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range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issues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relevant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practitioners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expansive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scope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has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generated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significant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reflecting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complexity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6BAF3A13" w14:textId="77777777" w:rsidR="00B61D3E" w:rsidRPr="007F7B31" w:rsidRDefault="00B61D3E" w:rsidP="00B61D3E">
            <w:pPr>
              <w:spacing w:before="240" w:after="24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also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essential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note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evolving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case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Court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Human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ECtHR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)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plays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influential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role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context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should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closely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monitored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practitioners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important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?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ECtHR's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rulings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cases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involving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similarly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worded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8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Convention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establish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minimum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standard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enshrined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7F7B31">
              <w:rPr>
                <w:rFonts w:asciiTheme="majorHAnsi" w:hAnsiTheme="majorHAnsi" w:cstheme="majorHAnsi"/>
              </w:rPr>
              <w:t>See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"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minimum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iCs/>
              </w:rPr>
              <w:t>level</w:t>
            </w:r>
            <w:proofErr w:type="spellEnd"/>
            <w:r w:rsidRPr="007F7B31">
              <w:rPr>
                <w:rFonts w:asciiTheme="majorHAnsi" w:hAnsiTheme="majorHAnsi" w:cstheme="majorHAnsi"/>
                <w:i/>
                <w:iCs/>
              </w:rPr>
              <w:t>"</w:t>
            </w:r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clause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53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).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Consequently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fundamental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must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at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minimum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adhere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standard.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Nevertheless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not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preclude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provision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higher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standard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opens up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opportunities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practitioners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pursue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an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elevated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lastRenderedPageBreak/>
              <w:t>level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fundamental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their</w:t>
            </w:r>
            <w:proofErr w:type="spellEnd"/>
            <w:r w:rsidRPr="007F7B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b/>
                <w:bCs/>
              </w:rPr>
              <w:t>clients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framework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beyond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Convention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regime</w:t>
            </w:r>
            <w:proofErr w:type="spellEnd"/>
            <w:r w:rsidRPr="007F7B31">
              <w:rPr>
                <w:rFonts w:asciiTheme="majorHAnsi" w:hAnsiTheme="majorHAnsi" w:cstheme="majorHAnsi"/>
              </w:rPr>
              <w:t>.</w:t>
            </w:r>
          </w:p>
          <w:p w14:paraId="3C53D97F" w14:textId="77777777" w:rsidR="00B61D3E" w:rsidRPr="007F7B31" w:rsidRDefault="00B61D3E" w:rsidP="00B61D3E">
            <w:pPr>
              <w:spacing w:before="240" w:after="24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Returning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heart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matter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content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contains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wealth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issues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many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which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will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continue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be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clarified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CJEU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future.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due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both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general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nature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core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concepts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protected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by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EChFR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evolving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societal </w:t>
            </w:r>
            <w:proofErr w:type="spellStart"/>
            <w:r w:rsidRPr="007F7B31">
              <w:rPr>
                <w:rFonts w:asciiTheme="majorHAnsi" w:hAnsiTheme="majorHAnsi" w:cstheme="majorHAnsi"/>
              </w:rPr>
              <w:t>understandings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key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concepts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contained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within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. </w:t>
            </w:r>
          </w:p>
          <w:p w14:paraId="77CBBADE" w14:textId="77777777" w:rsidR="00B61D3E" w:rsidRPr="007F7B31" w:rsidRDefault="00B61D3E" w:rsidP="00B61D3E">
            <w:pPr>
              <w:spacing w:before="240" w:after="24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F7B31">
              <w:rPr>
                <w:rFonts w:asciiTheme="majorHAnsi" w:hAnsiTheme="majorHAnsi" w:cstheme="majorHAnsi"/>
              </w:rPr>
              <w:t>Questions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that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continue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arise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application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</w:rPr>
              <w:t>include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: </w:t>
            </w:r>
          </w:p>
          <w:p w14:paraId="5DCCDFC4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do EU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member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states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ensure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best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interests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child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family-related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decisions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including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custody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arrangements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parental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17B14BA1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measures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are in place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combat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discrimination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based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status,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effective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promoting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equal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treatment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opportunities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all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individuals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07AF28C6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interpretation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application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differ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across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member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states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,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challenges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arise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harmonizing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family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policies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at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level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65BBD9C4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 balance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privacy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legitimate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interests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data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controllers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processors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729E29FD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constitutes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lawful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fair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processing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personal data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7,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do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organizations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ensure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compliance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38BDBD6E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What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are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implications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for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cross-border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data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transfers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international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data-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sharing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arrangements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6218FBCD" w14:textId="77777777" w:rsidR="00B61D3E" w:rsidRPr="007F7B31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does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Charter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reconcile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right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to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privacy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with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legitimate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interests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public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authorities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private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entities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in data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processing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surveillance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>?</w:t>
            </w:r>
          </w:p>
          <w:p w14:paraId="7380D551" w14:textId="77777777" w:rsidR="00B61D3E" w:rsidRDefault="00B61D3E" w:rsidP="00B61D3E">
            <w:pPr>
              <w:pStyle w:val="Paragraphedeliste"/>
              <w:numPr>
                <w:ilvl w:val="0"/>
                <w:numId w:val="17"/>
              </w:numPr>
              <w:rPr>
                <w:rFonts w:asciiTheme="majorHAnsi" w:hAnsiTheme="majorHAnsi" w:cstheme="majorHAnsi"/>
                <w:i/>
              </w:rPr>
            </w:pPr>
            <w:proofErr w:type="spellStart"/>
            <w:r w:rsidRPr="007F7B31">
              <w:rPr>
                <w:rFonts w:asciiTheme="majorHAnsi" w:hAnsiTheme="majorHAnsi" w:cstheme="majorHAnsi"/>
                <w:i/>
              </w:rPr>
              <w:t>How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do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emerging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technologies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digital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surveillance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practices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impact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scope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enforcement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privacy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under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  <w:i/>
              </w:rPr>
              <w:t xml:space="preserve"> 7?</w:t>
            </w:r>
          </w:p>
          <w:p w14:paraId="30846935" w14:textId="77777777" w:rsidR="00B61D3E" w:rsidRDefault="00B61D3E" w:rsidP="00B61D3E">
            <w:pPr>
              <w:rPr>
                <w:rFonts w:asciiTheme="majorHAnsi" w:hAnsiTheme="majorHAnsi" w:cstheme="majorHAnsi"/>
                <w:i/>
              </w:rPr>
            </w:pPr>
          </w:p>
          <w:p w14:paraId="62C4D591" w14:textId="77777777" w:rsidR="00B61D3E" w:rsidRPr="003E2F91" w:rsidRDefault="00B61D3E" w:rsidP="00B61D3E">
            <w:pPr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Use of Article 7 in Legal Practice</w:t>
            </w:r>
          </w:p>
          <w:p w14:paraId="3442082C" w14:textId="77777777" w:rsidR="00B61D3E" w:rsidRPr="003E2F91" w:rsidRDefault="00B61D3E" w:rsidP="00B61D3E">
            <w:pPr>
              <w:rPr>
                <w:rFonts w:asciiTheme="majorHAnsi" w:hAnsiTheme="majorHAnsi" w:cstheme="majorHAnsi"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iCs/>
                <w:lang w:val="en-GB"/>
              </w:rPr>
              <w:t>Article 7 is particularly relevant for lawyers dealing with cases in:</w:t>
            </w:r>
          </w:p>
          <w:p w14:paraId="64405A6C" w14:textId="77777777" w:rsidR="00B61D3E" w:rsidRPr="003E2F91" w:rsidRDefault="00B61D3E" w:rsidP="00B61D3E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Immigration and Family Reunification: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 xml:space="preserve"> Used to challenge national laws restricting family reunification for non-EU nationals.</w:t>
            </w:r>
          </w:p>
          <w:p w14:paraId="13D9C44B" w14:textId="77777777" w:rsidR="00B61D3E" w:rsidRPr="003E2F91" w:rsidRDefault="00B61D3E" w:rsidP="00B61D3E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Employment Law: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 xml:space="preserve"> Invoked in disputes concerning </w:t>
            </w: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workplace surveillance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>, discrimination, and parental leave rights.</w:t>
            </w:r>
          </w:p>
          <w:p w14:paraId="244C29AB" w14:textId="77777777" w:rsidR="00B61D3E" w:rsidRPr="003E2F91" w:rsidRDefault="00B61D3E" w:rsidP="00B61D3E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Criminal Law and Surveillance: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 xml:space="preserve"> Applied in cases where government surveillance or law enforcement measures infringe on privacy rights.</w:t>
            </w:r>
          </w:p>
          <w:p w14:paraId="18E75659" w14:textId="77777777" w:rsidR="00B61D3E" w:rsidRPr="003E2F91" w:rsidRDefault="00B61D3E" w:rsidP="00B61D3E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iCs/>
                <w:lang w:val="en-GB"/>
              </w:rPr>
            </w:pP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Housing and Eviction Cases: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 xml:space="preserve"> Supports claims against </w:t>
            </w:r>
            <w:r w:rsidRPr="003E2F9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forced evictions</w:t>
            </w:r>
            <w:r w:rsidRPr="003E2F91">
              <w:rPr>
                <w:rFonts w:asciiTheme="majorHAnsi" w:hAnsiTheme="majorHAnsi" w:cstheme="majorHAnsi"/>
                <w:iCs/>
                <w:lang w:val="en-GB"/>
              </w:rPr>
              <w:t xml:space="preserve"> or housing conditions violating fundamental rights.</w:t>
            </w:r>
          </w:p>
          <w:p w14:paraId="7DE843E8" w14:textId="77777777" w:rsidR="00B61D3E" w:rsidRPr="003E2F91" w:rsidRDefault="00B61D3E" w:rsidP="00B61D3E">
            <w:pPr>
              <w:rPr>
                <w:rFonts w:asciiTheme="majorHAnsi" w:hAnsiTheme="majorHAnsi" w:cstheme="majorHAnsi"/>
                <w:iCs/>
                <w:lang w:val="en-GB"/>
              </w:rPr>
            </w:pPr>
          </w:p>
          <w:p w14:paraId="251797F5" w14:textId="1D0253BD" w:rsidR="00B61D3E" w:rsidRPr="008E2D64" w:rsidRDefault="00B61D3E" w:rsidP="00B61D3E">
            <w:pPr>
              <w:rPr>
                <w:rFonts w:ascii="Calibri" w:hAnsi="Calibri" w:cs="Calibri"/>
                <w:i/>
                <w:iCs/>
                <w:lang w:val="en-US"/>
              </w:rPr>
            </w:pPr>
          </w:p>
        </w:tc>
      </w:tr>
      <w:tr w:rsidR="00B61D3E" w:rsidRPr="008E2D64" w14:paraId="0C5F89DE" w14:textId="77777777" w:rsidTr="00541A2A">
        <w:tc>
          <w:tcPr>
            <w:tcW w:w="8494" w:type="dxa"/>
          </w:tcPr>
          <w:p w14:paraId="2B76EC9A" w14:textId="1DCC6A15" w:rsidR="00B61D3E" w:rsidRPr="009F095C" w:rsidRDefault="00B61D3E" w:rsidP="00B61D3E">
            <w:pP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9F095C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Correspondence with other European/International instruments</w:t>
            </w:r>
          </w:p>
        </w:tc>
      </w:tr>
      <w:tr w:rsidR="00B61D3E" w:rsidRPr="008E2D64" w14:paraId="46150B45" w14:textId="77777777" w:rsidTr="00541A2A">
        <w:tc>
          <w:tcPr>
            <w:tcW w:w="8494" w:type="dxa"/>
          </w:tcPr>
          <w:p w14:paraId="6303D8B7" w14:textId="77777777" w:rsidR="00B61D3E" w:rsidRPr="009F095C" w:rsidRDefault="00B61D3E" w:rsidP="00B61D3E">
            <w:pPr>
              <w:rPr>
                <w:rFonts w:asciiTheme="majorHAnsi" w:hAnsiTheme="majorHAnsi" w:cstheme="majorHAnsi"/>
                <w:i/>
                <w:iCs/>
                <w:lang w:val="en-US"/>
              </w:rPr>
            </w:pPr>
          </w:p>
          <w:p w14:paraId="56C984DA" w14:textId="77777777" w:rsidR="00B61D3E" w:rsidRPr="007F7B31" w:rsidRDefault="00B61D3E" w:rsidP="00B61D3E">
            <w:pPr>
              <w:pStyle w:val="Paragraphedeliste"/>
              <w:numPr>
                <w:ilvl w:val="0"/>
                <w:numId w:val="19"/>
              </w:numPr>
              <w:rPr>
                <w:rFonts w:asciiTheme="majorHAnsi" w:hAnsiTheme="majorHAnsi" w:cstheme="majorHAnsi"/>
                <w:lang w:val="en-GB"/>
              </w:rPr>
            </w:pPr>
            <w:r w:rsidRPr="007F7B31">
              <w:rPr>
                <w:rFonts w:asciiTheme="majorHAnsi" w:hAnsiTheme="majorHAnsi" w:cstheme="majorHAnsi"/>
                <w:lang w:val="en-GB"/>
              </w:rPr>
              <w:t>European Convention on Human Rights, Article 8</w:t>
            </w:r>
          </w:p>
          <w:p w14:paraId="0BFA8C4B" w14:textId="77777777" w:rsidR="00B61D3E" w:rsidRPr="007F7B31" w:rsidRDefault="00B61D3E" w:rsidP="00B61D3E">
            <w:pPr>
              <w:pStyle w:val="Paragraphedeliste"/>
              <w:numPr>
                <w:ilvl w:val="0"/>
                <w:numId w:val="19"/>
              </w:numPr>
              <w:rPr>
                <w:rFonts w:asciiTheme="majorHAnsi" w:hAnsiTheme="majorHAnsi" w:cstheme="majorHAnsi"/>
                <w:lang w:val="en-GB"/>
              </w:rPr>
            </w:pPr>
            <w:r w:rsidRPr="007F7B31">
              <w:rPr>
                <w:rFonts w:asciiTheme="majorHAnsi" w:hAnsiTheme="majorHAnsi" w:cstheme="majorHAnsi"/>
                <w:lang w:val="en-GB"/>
              </w:rPr>
              <w:t>International Covenant on Civil and Political Rights, Article 17</w:t>
            </w:r>
          </w:p>
          <w:p w14:paraId="25E4DEB5" w14:textId="77777777" w:rsidR="00B61D3E" w:rsidRPr="007F7B31" w:rsidRDefault="00B61D3E" w:rsidP="00B61D3E">
            <w:pPr>
              <w:pStyle w:val="Paragraphedeliste"/>
              <w:numPr>
                <w:ilvl w:val="0"/>
                <w:numId w:val="19"/>
              </w:numPr>
              <w:rPr>
                <w:rFonts w:asciiTheme="majorHAnsi" w:hAnsiTheme="majorHAnsi" w:cstheme="majorHAnsi"/>
                <w:lang w:val="en-GB"/>
              </w:rPr>
            </w:pPr>
            <w:r w:rsidRPr="007F7B31">
              <w:rPr>
                <w:rFonts w:asciiTheme="majorHAnsi" w:hAnsiTheme="majorHAnsi" w:cstheme="majorHAnsi"/>
                <w:lang w:val="en-GB"/>
              </w:rPr>
              <w:t>Universal Declaration of Human Rights, Article 12</w:t>
            </w:r>
          </w:p>
          <w:p w14:paraId="4838CCC9" w14:textId="4D504ED8" w:rsidR="00B61D3E" w:rsidRPr="00B61D3E" w:rsidRDefault="00B61D3E" w:rsidP="00B61D3E">
            <w:pPr>
              <w:pStyle w:val="Paragraphedeliste"/>
              <w:numPr>
                <w:ilvl w:val="0"/>
                <w:numId w:val="19"/>
              </w:numPr>
              <w:rPr>
                <w:rFonts w:asciiTheme="majorHAnsi" w:hAnsiTheme="majorHAnsi" w:cstheme="majorHAnsi"/>
              </w:rPr>
            </w:pPr>
            <w:r w:rsidRPr="007F7B31">
              <w:rPr>
                <w:rFonts w:asciiTheme="majorHAnsi" w:hAnsiTheme="majorHAnsi" w:cstheme="majorHAnsi"/>
              </w:rPr>
              <w:t xml:space="preserve">UN </w:t>
            </w:r>
            <w:proofErr w:type="spellStart"/>
            <w:r w:rsidRPr="007F7B31">
              <w:rPr>
                <w:rFonts w:asciiTheme="majorHAnsi" w:hAnsiTheme="majorHAnsi" w:cstheme="majorHAnsi"/>
              </w:rPr>
              <w:t>Convention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on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Child, </w:t>
            </w:r>
            <w:proofErr w:type="spellStart"/>
            <w:r w:rsidRPr="007F7B31">
              <w:rPr>
                <w:rFonts w:asciiTheme="majorHAnsi" w:hAnsiTheme="majorHAnsi" w:cstheme="majorHAnsi"/>
              </w:rPr>
              <w:t>Article</w:t>
            </w:r>
            <w:proofErr w:type="spellEnd"/>
            <w:r w:rsidRPr="007F7B31">
              <w:rPr>
                <w:rFonts w:asciiTheme="majorHAnsi" w:hAnsiTheme="majorHAnsi" w:cstheme="majorHAnsi"/>
              </w:rPr>
              <w:t xml:space="preserve"> 3</w:t>
            </w:r>
          </w:p>
        </w:tc>
      </w:tr>
      <w:tr w:rsidR="00B61D3E" w:rsidRPr="008E2D64" w14:paraId="0B26731A" w14:textId="77777777" w:rsidTr="00CA5340">
        <w:tc>
          <w:tcPr>
            <w:tcW w:w="8494" w:type="dxa"/>
          </w:tcPr>
          <w:p w14:paraId="75063B86" w14:textId="41A81A64" w:rsidR="00B61D3E" w:rsidRPr="009F095C" w:rsidRDefault="00B61D3E" w:rsidP="00B61D3E">
            <w:pPr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9F095C">
              <w:rPr>
                <w:rFonts w:cstheme="minorHAnsi"/>
                <w:b/>
                <w:bCs/>
                <w:color w:val="000000" w:themeColor="text1"/>
                <w:lang w:val="en-US"/>
              </w:rPr>
              <w:lastRenderedPageBreak/>
              <w:t>Further readings</w:t>
            </w:r>
          </w:p>
        </w:tc>
      </w:tr>
      <w:tr w:rsidR="00B61D3E" w:rsidRPr="008E2D64" w14:paraId="2BA0518F" w14:textId="77777777" w:rsidTr="00CA5340">
        <w:tc>
          <w:tcPr>
            <w:tcW w:w="8494" w:type="dxa"/>
          </w:tcPr>
          <w:p w14:paraId="34045AD7" w14:textId="77777777" w:rsidR="00B61D3E" w:rsidRPr="00B61D3E" w:rsidRDefault="00B61D3E" w:rsidP="00B6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hAnsiTheme="majorHAnsi" w:cstheme="majorHAnsi"/>
                <w:i/>
                <w:color w:val="000000"/>
              </w:rPr>
            </w:pPr>
          </w:p>
          <w:p w14:paraId="7E6D77D9" w14:textId="626767C2" w:rsidR="00B61D3E" w:rsidRPr="007F7B31" w:rsidRDefault="00B61D3E" w:rsidP="00B61D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</w:rPr>
            </w:pP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Hailbronner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K. and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Thym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, D. (2022)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Immigration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Asylum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Article-by-article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commentary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.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München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: C.H. Beck.</w:t>
            </w:r>
          </w:p>
          <w:p w14:paraId="489BAEF3" w14:textId="77777777" w:rsidR="00B61D3E" w:rsidRPr="007F7B31" w:rsidRDefault="00B61D3E" w:rsidP="00B61D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Peers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, S. et al. (2022)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EU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Charter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Fundamental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Commentary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. 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Baden-Baden: Nomos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Verlagsgesellschaft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mbH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&amp; Co. KG.</w:t>
            </w:r>
          </w:p>
          <w:p w14:paraId="17938881" w14:textId="77777777" w:rsidR="00B61D3E" w:rsidRPr="007F7B31" w:rsidRDefault="00B61D3E" w:rsidP="00B61D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Tryfonidou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A. (2019) 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‘EU Free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Movement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children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rainbow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families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: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Children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lesser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god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>?’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Yearbook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Law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, 38, pp. 220–266. doi:10.1093/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yel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/yez001.</w:t>
            </w:r>
          </w:p>
          <w:p w14:paraId="11E889BE" w14:textId="77777777" w:rsidR="00B61D3E" w:rsidRPr="007F7B31" w:rsidRDefault="00B61D3E" w:rsidP="00B61D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Greer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S.,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Gerards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, J.H. and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Slowe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, R. (2019)</w:t>
            </w:r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Human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rights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in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Council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of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Europe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the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European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Union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Achievements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,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trends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 and </w:t>
            </w:r>
            <w:proofErr w:type="spellStart"/>
            <w:r w:rsidRPr="007F7B31">
              <w:rPr>
                <w:rFonts w:asciiTheme="majorHAnsi" w:hAnsiTheme="majorHAnsi" w:cstheme="majorHAnsi"/>
                <w:i/>
                <w:color w:val="000000"/>
              </w:rPr>
              <w:t>challenges</w:t>
            </w:r>
            <w:proofErr w:type="spellEnd"/>
            <w:r w:rsidRPr="007F7B31">
              <w:rPr>
                <w:rFonts w:asciiTheme="majorHAnsi" w:hAnsiTheme="majorHAnsi" w:cstheme="majorHAnsi"/>
                <w:i/>
                <w:color w:val="000000"/>
              </w:rPr>
              <w:t xml:space="preserve">. </w:t>
            </w:r>
            <w:r w:rsidRPr="007F7B31">
              <w:rPr>
                <w:rFonts w:asciiTheme="majorHAnsi" w:hAnsiTheme="majorHAnsi" w:cstheme="majorHAnsi"/>
                <w:color w:val="000000"/>
              </w:rPr>
              <w:t xml:space="preserve">Cambridge,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United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Kingdom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: Cambridge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University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7F7B31">
              <w:rPr>
                <w:rFonts w:asciiTheme="majorHAnsi" w:hAnsiTheme="majorHAnsi" w:cstheme="majorHAnsi"/>
                <w:color w:val="000000"/>
              </w:rPr>
              <w:t>Press</w:t>
            </w:r>
            <w:proofErr w:type="spellEnd"/>
            <w:r w:rsidRPr="007F7B31">
              <w:rPr>
                <w:rFonts w:asciiTheme="majorHAnsi" w:hAnsiTheme="majorHAnsi" w:cstheme="majorHAnsi"/>
                <w:color w:val="000000"/>
              </w:rPr>
              <w:t>.</w:t>
            </w:r>
          </w:p>
          <w:p w14:paraId="2FA1AE4B" w14:textId="20F8FF70" w:rsidR="00B61D3E" w:rsidRPr="009F095C" w:rsidRDefault="00B61D3E" w:rsidP="00B61D3E">
            <w:pPr>
              <w:tabs>
                <w:tab w:val="left" w:pos="1395"/>
              </w:tabs>
              <w:rPr>
                <w:rFonts w:asciiTheme="majorHAnsi" w:hAnsiTheme="majorHAnsi" w:cstheme="majorHAnsi"/>
                <w:i/>
                <w:iCs/>
                <w:color w:val="000000" w:themeColor="text1"/>
                <w:lang w:val="en-US"/>
              </w:rPr>
            </w:pPr>
          </w:p>
          <w:p w14:paraId="0DA5C5C2" w14:textId="460E5A0E" w:rsidR="00B61D3E" w:rsidRPr="009F095C" w:rsidRDefault="00B61D3E" w:rsidP="00B61D3E">
            <w:pPr>
              <w:rPr>
                <w:rFonts w:asciiTheme="majorHAnsi" w:hAnsiTheme="majorHAnsi" w:cstheme="majorHAnsi"/>
                <w:i/>
                <w:iCs/>
                <w:color w:val="000000" w:themeColor="text1"/>
                <w:lang w:val="en-US"/>
              </w:rPr>
            </w:pPr>
          </w:p>
        </w:tc>
      </w:tr>
    </w:tbl>
    <w:p w14:paraId="4967EA04" w14:textId="77777777" w:rsidR="00CA5340" w:rsidRDefault="00CA5340">
      <w:pPr>
        <w:rPr>
          <w:rFonts w:ascii="Calibri" w:hAnsi="Calibri" w:cs="Calibri"/>
          <w:sz w:val="22"/>
          <w:szCs w:val="22"/>
          <w:lang w:val="en-US"/>
        </w:rPr>
      </w:pPr>
    </w:p>
    <w:sectPr w:rsidR="00CA5340" w:rsidSect="00DC53A0">
      <w:headerReference w:type="default" r:id="rId9"/>
      <w:pgSz w:w="11906" w:h="16838"/>
      <w:pgMar w:top="1418" w:right="1701" w:bottom="10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84EE6" w14:textId="77777777" w:rsidR="009F095C" w:rsidRDefault="009F095C" w:rsidP="009F095C">
      <w:r>
        <w:separator/>
      </w:r>
    </w:p>
  </w:endnote>
  <w:endnote w:type="continuationSeparator" w:id="0">
    <w:p w14:paraId="2755F8AF" w14:textId="77777777" w:rsidR="009F095C" w:rsidRDefault="009F095C" w:rsidP="009F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84EE" w14:textId="77777777" w:rsidR="009F095C" w:rsidRDefault="009F095C" w:rsidP="009F095C">
      <w:r>
        <w:separator/>
      </w:r>
    </w:p>
  </w:footnote>
  <w:footnote w:type="continuationSeparator" w:id="0">
    <w:p w14:paraId="2AE3521F" w14:textId="77777777" w:rsidR="009F095C" w:rsidRDefault="009F095C" w:rsidP="009F0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3A0F" w14:textId="13ECA210" w:rsidR="00711C0F" w:rsidRDefault="00711C0F">
    <w:pPr>
      <w:pStyle w:val="En-tte"/>
    </w:pPr>
    <w:r>
      <w:rPr>
        <w:rFonts w:ascii="Calibri" w:hAnsi="Calibri" w:cs="Calibri"/>
        <w:b/>
        <w:bCs/>
        <w:noProof/>
        <w:lang w:val="en-US"/>
      </w:rPr>
      <w:drawing>
        <wp:anchor distT="0" distB="0" distL="114300" distR="114300" simplePos="0" relativeHeight="251659264" behindDoc="1" locked="0" layoutInCell="1" allowOverlap="1" wp14:anchorId="7811FFF3" wp14:editId="712A0B45">
          <wp:simplePos x="0" y="0"/>
          <wp:positionH relativeFrom="page">
            <wp:align>left</wp:align>
          </wp:positionH>
          <wp:positionV relativeFrom="paragraph">
            <wp:posOffset>-1356469</wp:posOffset>
          </wp:positionV>
          <wp:extent cx="7558500" cy="1797269"/>
          <wp:effectExtent l="0" t="0" r="4445" b="0"/>
          <wp:wrapNone/>
          <wp:docPr id="847529213" name="Image 7" descr="Une image contenant Bleu électrique, Bleu Majorelle, Bleu cobalt, drapeau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275574" name="Image 7" descr="Une image contenant Bleu électrique, Bleu Majorelle, Bleu cobalt, drapeau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500" cy="1797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1387"/>
    <w:multiLevelType w:val="multilevel"/>
    <w:tmpl w:val="93B8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04DBE"/>
    <w:multiLevelType w:val="hybridMultilevel"/>
    <w:tmpl w:val="991C38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D6081"/>
    <w:multiLevelType w:val="hybridMultilevel"/>
    <w:tmpl w:val="484ABC7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377E"/>
    <w:multiLevelType w:val="multilevel"/>
    <w:tmpl w:val="3800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6558F"/>
    <w:multiLevelType w:val="multilevel"/>
    <w:tmpl w:val="279CE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E53403"/>
    <w:multiLevelType w:val="hybridMultilevel"/>
    <w:tmpl w:val="4D320D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95B42"/>
    <w:multiLevelType w:val="multilevel"/>
    <w:tmpl w:val="6C4C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20DBB"/>
    <w:multiLevelType w:val="multilevel"/>
    <w:tmpl w:val="E71EE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DF0BF9"/>
    <w:multiLevelType w:val="hybridMultilevel"/>
    <w:tmpl w:val="DFD213C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90CD0"/>
    <w:multiLevelType w:val="hybridMultilevel"/>
    <w:tmpl w:val="B442D25C"/>
    <w:lvl w:ilvl="0" w:tplc="D3948EC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259F5"/>
    <w:multiLevelType w:val="hybridMultilevel"/>
    <w:tmpl w:val="C7EA0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826F3"/>
    <w:multiLevelType w:val="hybridMultilevel"/>
    <w:tmpl w:val="37D411A2"/>
    <w:lvl w:ilvl="0" w:tplc="51C6B2B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B7A57"/>
    <w:multiLevelType w:val="hybridMultilevel"/>
    <w:tmpl w:val="7C460BE6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C050C"/>
    <w:multiLevelType w:val="hybridMultilevel"/>
    <w:tmpl w:val="51742546"/>
    <w:lvl w:ilvl="0" w:tplc="C1102D0A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A6CF9"/>
    <w:multiLevelType w:val="hybridMultilevel"/>
    <w:tmpl w:val="1B7814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D317C"/>
    <w:multiLevelType w:val="hybridMultilevel"/>
    <w:tmpl w:val="A964F7A8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66E07"/>
    <w:multiLevelType w:val="hybridMultilevel"/>
    <w:tmpl w:val="86E0E8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7721C"/>
    <w:multiLevelType w:val="hybridMultilevel"/>
    <w:tmpl w:val="F2FC46E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95319"/>
    <w:multiLevelType w:val="hybridMultilevel"/>
    <w:tmpl w:val="9B0EF2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4899"/>
    <w:multiLevelType w:val="multilevel"/>
    <w:tmpl w:val="D4DA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1931999">
    <w:abstractNumId w:val="14"/>
  </w:num>
  <w:num w:numId="2" w16cid:durableId="75979654">
    <w:abstractNumId w:val="16"/>
  </w:num>
  <w:num w:numId="3" w16cid:durableId="1904831463">
    <w:abstractNumId w:val="2"/>
  </w:num>
  <w:num w:numId="4" w16cid:durableId="1503398700">
    <w:abstractNumId w:val="13"/>
  </w:num>
  <w:num w:numId="5" w16cid:durableId="1035890506">
    <w:abstractNumId w:val="11"/>
  </w:num>
  <w:num w:numId="6" w16cid:durableId="1804224680">
    <w:abstractNumId w:val="9"/>
  </w:num>
  <w:num w:numId="7" w16cid:durableId="2060200701">
    <w:abstractNumId w:val="17"/>
  </w:num>
  <w:num w:numId="8" w16cid:durableId="260378364">
    <w:abstractNumId w:val="8"/>
  </w:num>
  <w:num w:numId="9" w16cid:durableId="107169521">
    <w:abstractNumId w:val="18"/>
  </w:num>
  <w:num w:numId="10" w16cid:durableId="2117289083">
    <w:abstractNumId w:val="12"/>
  </w:num>
  <w:num w:numId="11" w16cid:durableId="1042285177">
    <w:abstractNumId w:val="15"/>
  </w:num>
  <w:num w:numId="12" w16cid:durableId="413472436">
    <w:abstractNumId w:val="10"/>
  </w:num>
  <w:num w:numId="13" w16cid:durableId="1990789623">
    <w:abstractNumId w:val="6"/>
  </w:num>
  <w:num w:numId="14" w16cid:durableId="1049305517">
    <w:abstractNumId w:val="19"/>
  </w:num>
  <w:num w:numId="15" w16cid:durableId="325205896">
    <w:abstractNumId w:val="7"/>
  </w:num>
  <w:num w:numId="16" w16cid:durableId="747115462">
    <w:abstractNumId w:val="3"/>
  </w:num>
  <w:num w:numId="17" w16cid:durableId="1586304605">
    <w:abstractNumId w:val="1"/>
  </w:num>
  <w:num w:numId="18" w16cid:durableId="1672028679">
    <w:abstractNumId w:val="0"/>
  </w:num>
  <w:num w:numId="19" w16cid:durableId="397559194">
    <w:abstractNumId w:val="5"/>
  </w:num>
  <w:num w:numId="20" w16cid:durableId="1772045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nl-NL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53B"/>
    <w:rsid w:val="0002543F"/>
    <w:rsid w:val="00032E76"/>
    <w:rsid w:val="00071D94"/>
    <w:rsid w:val="000808E3"/>
    <w:rsid w:val="000969B1"/>
    <w:rsid w:val="000C3116"/>
    <w:rsid w:val="000C338A"/>
    <w:rsid w:val="000D5EDC"/>
    <w:rsid w:val="000E3179"/>
    <w:rsid w:val="000F2478"/>
    <w:rsid w:val="00125C2F"/>
    <w:rsid w:val="00131343"/>
    <w:rsid w:val="001331B6"/>
    <w:rsid w:val="00185ED2"/>
    <w:rsid w:val="001A0070"/>
    <w:rsid w:val="001B1D88"/>
    <w:rsid w:val="00254F16"/>
    <w:rsid w:val="002A06C2"/>
    <w:rsid w:val="002B04E0"/>
    <w:rsid w:val="002D7EFC"/>
    <w:rsid w:val="002E2D27"/>
    <w:rsid w:val="002E55BA"/>
    <w:rsid w:val="002F6B2D"/>
    <w:rsid w:val="0033291B"/>
    <w:rsid w:val="00390CC1"/>
    <w:rsid w:val="003A537F"/>
    <w:rsid w:val="003C4CA4"/>
    <w:rsid w:val="00412D4C"/>
    <w:rsid w:val="004B1205"/>
    <w:rsid w:val="004B653B"/>
    <w:rsid w:val="004C17C3"/>
    <w:rsid w:val="00530078"/>
    <w:rsid w:val="00535429"/>
    <w:rsid w:val="00552F47"/>
    <w:rsid w:val="005E4B1D"/>
    <w:rsid w:val="005F3A64"/>
    <w:rsid w:val="0067453B"/>
    <w:rsid w:val="006C20DF"/>
    <w:rsid w:val="006C502E"/>
    <w:rsid w:val="006D49A7"/>
    <w:rsid w:val="006E2B14"/>
    <w:rsid w:val="007079C1"/>
    <w:rsid w:val="00711C0F"/>
    <w:rsid w:val="00713D75"/>
    <w:rsid w:val="007329D3"/>
    <w:rsid w:val="00750965"/>
    <w:rsid w:val="007B4007"/>
    <w:rsid w:val="007F47B5"/>
    <w:rsid w:val="008208D6"/>
    <w:rsid w:val="008266E0"/>
    <w:rsid w:val="00846E73"/>
    <w:rsid w:val="00873CA7"/>
    <w:rsid w:val="00895DB6"/>
    <w:rsid w:val="00895E65"/>
    <w:rsid w:val="008E2D64"/>
    <w:rsid w:val="0095779A"/>
    <w:rsid w:val="009B2955"/>
    <w:rsid w:val="009B53E5"/>
    <w:rsid w:val="009D4AC1"/>
    <w:rsid w:val="009F095C"/>
    <w:rsid w:val="00A24803"/>
    <w:rsid w:val="00A40F02"/>
    <w:rsid w:val="00A42F8F"/>
    <w:rsid w:val="00A57918"/>
    <w:rsid w:val="00A83505"/>
    <w:rsid w:val="00AD347A"/>
    <w:rsid w:val="00AD7371"/>
    <w:rsid w:val="00AF1C04"/>
    <w:rsid w:val="00B02EDB"/>
    <w:rsid w:val="00B135BF"/>
    <w:rsid w:val="00B24B22"/>
    <w:rsid w:val="00B436EB"/>
    <w:rsid w:val="00B55EE2"/>
    <w:rsid w:val="00B61D3E"/>
    <w:rsid w:val="00B640B4"/>
    <w:rsid w:val="00C51A5B"/>
    <w:rsid w:val="00C71D38"/>
    <w:rsid w:val="00C75647"/>
    <w:rsid w:val="00C85CB5"/>
    <w:rsid w:val="00CA5340"/>
    <w:rsid w:val="00CC124C"/>
    <w:rsid w:val="00CD3B67"/>
    <w:rsid w:val="00D836DD"/>
    <w:rsid w:val="00DC4BE8"/>
    <w:rsid w:val="00DC53A0"/>
    <w:rsid w:val="00DC551B"/>
    <w:rsid w:val="00DE0388"/>
    <w:rsid w:val="00E53B97"/>
    <w:rsid w:val="00E61AE4"/>
    <w:rsid w:val="00E84AF0"/>
    <w:rsid w:val="00EB0AE4"/>
    <w:rsid w:val="00ED0EB7"/>
    <w:rsid w:val="00F13902"/>
    <w:rsid w:val="00F31726"/>
    <w:rsid w:val="00F44A11"/>
    <w:rsid w:val="00F46745"/>
    <w:rsid w:val="00F71601"/>
    <w:rsid w:val="00FE62A0"/>
    <w:rsid w:val="00FF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D1AC9F"/>
  <w15:chartTrackingRefBased/>
  <w15:docId w15:val="{A0CD137F-7EC2-4A49-AAAE-8FF7227E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53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table" w:styleId="Grilledutableau">
    <w:name w:val="Table Grid"/>
    <w:basedOn w:val="TableauNormal"/>
    <w:uiPriority w:val="39"/>
    <w:rsid w:val="00B43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502E"/>
    <w:pPr>
      <w:ind w:left="720"/>
      <w:contextualSpacing/>
    </w:pPr>
  </w:style>
  <w:style w:type="character" w:customStyle="1" w:styleId="ui-provider">
    <w:name w:val="ui-provider"/>
    <w:basedOn w:val="Policepardfaut"/>
    <w:rsid w:val="001B1D88"/>
  </w:style>
  <w:style w:type="character" w:styleId="Lienhypertexte">
    <w:name w:val="Hyperlink"/>
    <w:basedOn w:val="Policepardfaut"/>
    <w:uiPriority w:val="99"/>
    <w:unhideWhenUsed/>
    <w:rsid w:val="001B1D88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3172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31726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6C20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s-ES_tradnl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rsid w:val="006C20DF"/>
    <w:rPr>
      <w:rFonts w:ascii="Courier New" w:eastAsia="Times New Roman" w:hAnsi="Courier New" w:cs="Courier New"/>
      <w:kern w:val="0"/>
      <w:sz w:val="20"/>
      <w:szCs w:val="20"/>
      <w:lang w:eastAsia="es-ES_tradnl"/>
      <w14:ligatures w14:val="none"/>
    </w:rPr>
  </w:style>
  <w:style w:type="character" w:customStyle="1" w:styleId="y2iqfc">
    <w:name w:val="y2iqfc"/>
    <w:basedOn w:val="Policepardfaut"/>
    <w:rsid w:val="006C20DF"/>
  </w:style>
  <w:style w:type="character" w:customStyle="1" w:styleId="outputecliaff">
    <w:name w:val="outputecliaff"/>
    <w:basedOn w:val="Policepardfaut"/>
    <w:rsid w:val="00AF1C04"/>
  </w:style>
  <w:style w:type="character" w:customStyle="1" w:styleId="field-content">
    <w:name w:val="field-content"/>
    <w:basedOn w:val="Policepardfaut"/>
    <w:rsid w:val="00EB0AE4"/>
  </w:style>
  <w:style w:type="character" w:styleId="Marquedecommentaire">
    <w:name w:val="annotation reference"/>
    <w:basedOn w:val="Policepardfaut"/>
    <w:uiPriority w:val="99"/>
    <w:semiHidden/>
    <w:unhideWhenUsed/>
    <w:rsid w:val="00895D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95DB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95DB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5D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5DB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95DB6"/>
  </w:style>
  <w:style w:type="paragraph" w:styleId="Textedebulles">
    <w:name w:val="Balloon Text"/>
    <w:basedOn w:val="Normal"/>
    <w:link w:val="TextedebullesCar"/>
    <w:uiPriority w:val="99"/>
    <w:semiHidden/>
    <w:unhideWhenUsed/>
    <w:rsid w:val="006E2B1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2B1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09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095C"/>
  </w:style>
  <w:style w:type="paragraph" w:styleId="Pieddepage">
    <w:name w:val="footer"/>
    <w:basedOn w:val="Normal"/>
    <w:link w:val="PieddepageCar"/>
    <w:uiPriority w:val="99"/>
    <w:unhideWhenUsed/>
    <w:rsid w:val="009F09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095C"/>
  </w:style>
  <w:style w:type="table" w:customStyle="1" w:styleId="TableNormal1">
    <w:name w:val="Table Normal1"/>
    <w:rsid w:val="00B61D3E"/>
    <w:rPr>
      <w:rFonts w:ascii="Calibri" w:eastAsia="Calibri" w:hAnsi="Calibri" w:cs="Calibri"/>
      <w:kern w:val="0"/>
      <w:lang w:val="en-US" w:eastAsia="en-GB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23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8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6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8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3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6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5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9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0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9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5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9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2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4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2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3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1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7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D3A0C-D716-496C-B374-8AB0CD36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2055</Words>
  <Characters>11720</Characters>
  <Application>Microsoft Office Word</Application>
  <DocSecurity>0</DocSecurity>
  <Lines>97</Lines>
  <Paragraphs>27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Jordana Santiago</dc:creator>
  <cp:keywords/>
  <dc:description/>
  <cp:lastModifiedBy>Andréa BARREIRA</cp:lastModifiedBy>
  <cp:revision>5</cp:revision>
  <dcterms:created xsi:type="dcterms:W3CDTF">2025-02-03T14:31:00Z</dcterms:created>
  <dcterms:modified xsi:type="dcterms:W3CDTF">2025-02-11T11:33:00Z</dcterms:modified>
</cp:coreProperties>
</file>